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0" w:lineRule="auto"/>
        <w:jc w:val="center"/>
        <w:rPr>
          <w:sz w:val="36"/>
          <w:szCs w:val="36"/>
        </w:rPr>
      </w:pPr>
      <w:r w:rsidDel="00000000" w:rsidR="00000000" w:rsidRPr="00000000">
        <w:rPr>
          <w:rFonts w:ascii="Arial" w:cs="Arial" w:eastAsia="Arial" w:hAnsi="Arial"/>
          <w:b w:val="1"/>
          <w:bCs w:val="1"/>
          <w:color w:val="1b3a6b"/>
          <w:sz w:val="36"/>
          <w:szCs w:val="36"/>
          <w:rtl w:val="0"/>
        </w:rPr>
        <w:t xml:space="preserve">Geographic Skills</w:t>
      </w:r>
      <w:r w:rsidDel="00000000" w:rsidR="00000000" w:rsidRPr="00000000">
        <w:rPr>
          <w:rtl w:val="0"/>
        </w:rPr>
      </w:r>
    </w:p>
    <w:p w:rsidR="00000000" w:rsidDel="00000000" w:rsidP="00000000" w:rsidRDefault="00000000" w:rsidRPr="00000000" w14:paraId="00000002">
      <w:pPr>
        <w:pBdr>
          <w:bottom w:color="2e6db4" w:space="6" w:sz="8" w:val="single"/>
        </w:pBdr>
        <w:spacing w:after="20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 complete reference of all prescribed skills for IB Diploma Geography</w:t>
      </w:r>
    </w:p>
    <w:p w:rsidR="00000000" w:rsidDel="00000000" w:rsidP="00000000" w:rsidRDefault="00000000" w:rsidRPr="00000000" w14:paraId="00000003">
      <w:pPr>
        <w:pBdr>
          <w:bottom w:color="2e6db4" w:space="6" w:sz="8" w:val="single"/>
        </w:pBdr>
        <w:spacing w:after="20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Introduction:</w:t>
      </w:r>
      <w:r w:rsidDel="00000000" w:rsidR="00000000" w:rsidRPr="00000000">
        <w:rPr>
          <w:rFonts w:ascii="Arial" w:cs="Arial" w:eastAsia="Arial" w:hAnsi="Arial"/>
          <w:sz w:val="22"/>
          <w:szCs w:val="22"/>
          <w:rtl w:val="0"/>
        </w:rPr>
        <w:t xml:space="preserve"> Geographic skills are essential to the study of geography and reflect the subject’s distinctive methodology and approach. Teaching and learning these skills enrich students’ understanding of geography and enable them to apply and use appropriate techniques and terminology. It is essential that the skills be covered throughout the syllabus and that they are introduced and integrated, where appropriate, depending on the context, across the different themes and the SL/HL core and HL extension. It is essential that all skills be taught at some stage of the course and are not treated in isolation. </w:t>
      </w:r>
    </w:p>
    <w:p w:rsidR="00000000" w:rsidDel="00000000" w:rsidP="00000000" w:rsidRDefault="00000000" w:rsidRPr="00000000" w14:paraId="00000004">
      <w:pPr>
        <w:pBdr>
          <w:bottom w:color="2e6db4" w:space="6" w:sz="8" w:val="single"/>
        </w:pBdr>
        <w:spacing w:after="20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Students are expected to demonstrate competence in the use of geographic skills in examination papers and internal assessment as appropriate. Those skills indicated below in italics are not assessed in the externally assessed examination papers. </w:t>
      </w:r>
    </w:p>
    <w:p w:rsidR="00000000" w:rsidDel="00000000" w:rsidP="00000000" w:rsidRDefault="00000000" w:rsidRPr="00000000" w14:paraId="00000005">
      <w:pPr>
        <w:pBdr>
          <w:bottom w:color="2e6db4" w:space="6" w:sz="8" w:val="single"/>
        </w:pBdr>
        <w:spacing w:after="20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It is recognised that the ability to use GIS as a tool is a valuable geographic skill that extends beyond many of the skills listed below. Where GIS is accessible and practical, its use is encouraged</w:t>
      </w:r>
    </w:p>
    <w:tbl>
      <w:tblPr>
        <w:tblStyle w:val="Table1"/>
        <w:tblW w:w="101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60"/>
        <w:gridCol w:w="6750"/>
        <w:tblGridChange w:id="0">
          <w:tblGrid>
            <w:gridCol w:w="3360"/>
            <w:gridCol w:w="6750"/>
          </w:tblGrid>
        </w:tblGridChange>
      </w:tblGrid>
      <w:tr>
        <w:trPr>
          <w:cantSplit w:val="0"/>
          <w:tblHeader w:val="1"/>
        </w:trPr>
        <w:tc>
          <w:tcPr>
            <w:tcBorders>
              <w:top w:color="bdd0e8" w:space="0" w:sz="4" w:val="single"/>
              <w:left w:color="bdd0e8" w:space="0" w:sz="4" w:val="single"/>
              <w:bottom w:color="bdd0e8" w:space="0" w:sz="4" w:val="single"/>
              <w:right w:color="bdd0e8" w:space="0" w:sz="4" w:val="single"/>
            </w:tcBorders>
            <w:shd w:fill="1b3a6b" w:val="clear"/>
            <w:tcMar>
              <w:top w:w="120.0" w:type="dxa"/>
              <w:left w:w="160.0" w:type="dxa"/>
              <w:bottom w:w="120.0" w:type="dxa"/>
              <w:right w:w="160.0" w:type="dxa"/>
            </w:tcMar>
            <w:vAlign w:val="center"/>
          </w:tcPr>
          <w:p w:rsidR="00000000" w:rsidDel="00000000" w:rsidP="00000000" w:rsidRDefault="00000000" w:rsidRPr="00000000" w14:paraId="00000006">
            <w:pPr>
              <w:jc w:val="center"/>
              <w:rPr>
                <w:sz w:val="24"/>
                <w:szCs w:val="24"/>
              </w:rPr>
            </w:pPr>
            <w:r w:rsidDel="00000000" w:rsidR="00000000" w:rsidRPr="00000000">
              <w:rPr>
                <w:rFonts w:ascii="Arial" w:cs="Arial" w:eastAsia="Arial" w:hAnsi="Arial"/>
                <w:b w:val="1"/>
                <w:bCs w:val="1"/>
                <w:color w:val="ffffff"/>
                <w:sz w:val="24"/>
                <w:szCs w:val="24"/>
                <w:rtl w:val="0"/>
              </w:rPr>
              <w:t xml:space="preserve">GEOGRAPHIC SKILL</w:t>
            </w:r>
            <w:r w:rsidDel="00000000" w:rsidR="00000000" w:rsidRPr="00000000">
              <w:rPr>
                <w:rtl w:val="0"/>
              </w:rPr>
            </w:r>
          </w:p>
        </w:tc>
        <w:tc>
          <w:tcPr>
            <w:tcBorders>
              <w:top w:color="bdd0e8" w:space="0" w:sz="4" w:val="single"/>
              <w:left w:color="bdd0e8" w:space="0" w:sz="4" w:val="single"/>
              <w:bottom w:color="bdd0e8" w:space="0" w:sz="4" w:val="single"/>
              <w:right w:color="bdd0e8" w:space="0" w:sz="4" w:val="single"/>
            </w:tcBorders>
            <w:shd w:fill="1b3a6b" w:val="clear"/>
            <w:tcMar>
              <w:top w:w="120.0" w:type="dxa"/>
              <w:left w:w="160.0" w:type="dxa"/>
              <w:bottom w:w="120.0" w:type="dxa"/>
              <w:right w:w="160.0" w:type="dxa"/>
            </w:tcMar>
            <w:vAlign w:val="center"/>
          </w:tcPr>
          <w:p w:rsidR="00000000" w:rsidDel="00000000" w:rsidP="00000000" w:rsidRDefault="00000000" w:rsidRPr="00000000" w14:paraId="00000007">
            <w:pPr>
              <w:jc w:val="center"/>
              <w:rPr>
                <w:sz w:val="24"/>
                <w:szCs w:val="24"/>
              </w:rPr>
            </w:pPr>
            <w:r w:rsidDel="00000000" w:rsidR="00000000" w:rsidRPr="00000000">
              <w:rPr>
                <w:rFonts w:ascii="Arial" w:cs="Arial" w:eastAsia="Arial" w:hAnsi="Arial"/>
                <w:b w:val="1"/>
                <w:bCs w:val="1"/>
                <w:color w:val="ffffff"/>
                <w:sz w:val="24"/>
                <w:szCs w:val="24"/>
                <w:rtl w:val="0"/>
              </w:rPr>
              <w:t xml:space="preserve">EXAMPLES AND TECHNIQUES</w:t>
            </w:r>
            <w:r w:rsidDel="00000000" w:rsidR="00000000" w:rsidRPr="00000000">
              <w:rPr>
                <w:rtl w:val="0"/>
              </w:rPr>
            </w:r>
          </w:p>
        </w:tc>
      </w:tr>
      <w:tr>
        <w:trPr>
          <w:cantSplit w:val="0"/>
          <w:tblHeader w:val="0"/>
        </w:trPr>
        <w:tc>
          <w:tcPr>
            <w:tcBorders>
              <w:top w:color="bdd0e8" w:space="0" w:sz="4" w:val="single"/>
              <w:left w:color="bdd0e8" w:space="0" w:sz="4" w:val="single"/>
              <w:bottom w:color="bdd0e8" w:space="0" w:sz="4" w:val="single"/>
              <w:right w:color="bdd0e8" w:space="0" w:sz="4" w:val="single"/>
            </w:tcBorders>
            <w:shd w:fill="ffffff" w:val="clear"/>
            <w:tcMar>
              <w:top w:w="100.0" w:type="dxa"/>
              <w:left w:w="160.0" w:type="dxa"/>
              <w:bottom w:w="100.0" w:type="dxa"/>
              <w:right w:w="160.0" w:type="dxa"/>
            </w:tcMar>
            <w:vAlign w:val="center"/>
          </w:tcPr>
          <w:p w:rsidR="00000000" w:rsidDel="00000000" w:rsidP="00000000" w:rsidRDefault="00000000" w:rsidRPr="00000000" w14:paraId="00000008">
            <w:pPr>
              <w:rPr>
                <w:sz w:val="24"/>
                <w:szCs w:val="24"/>
              </w:rPr>
            </w:pPr>
            <w:r w:rsidDel="00000000" w:rsidR="00000000" w:rsidRPr="00000000">
              <w:rPr>
                <w:rFonts w:ascii="Arial" w:cs="Arial" w:eastAsia="Arial" w:hAnsi="Arial"/>
                <w:b w:val="1"/>
                <w:bCs w:val="1"/>
                <w:color w:val="1b3a6b"/>
                <w:sz w:val="24"/>
                <w:szCs w:val="24"/>
                <w:rtl w:val="0"/>
              </w:rPr>
              <w:t xml:space="preserve">Locate and differentiate elements of the Earth's surface</w:t>
            </w:r>
            <w:r w:rsidDel="00000000" w:rsidR="00000000" w:rsidRPr="00000000">
              <w:rPr>
                <w:rtl w:val="0"/>
              </w:rPr>
            </w:r>
          </w:p>
        </w:tc>
        <w:tc>
          <w:tcPr>
            <w:tcBorders>
              <w:top w:color="bdd0e8" w:space="0" w:sz="4" w:val="single"/>
              <w:left w:color="bdd0e8" w:space="0" w:sz="4" w:val="single"/>
              <w:bottom w:color="bdd0e8" w:space="0" w:sz="4" w:val="single"/>
              <w:right w:color="bdd0e8" w:space="0" w:sz="4" w:val="single"/>
            </w:tcBorders>
            <w:shd w:fill="ffffff" w:val="clear"/>
            <w:tcMar>
              <w:top w:w="100.0" w:type="dxa"/>
              <w:left w:w="200.0" w:type="dxa"/>
              <w:bottom w:w="100.0" w:type="dxa"/>
              <w:right w:w="160.0" w:type="dxa"/>
            </w:tcMar>
          </w:tcPr>
          <w:p w:rsidR="00000000" w:rsidDel="00000000" w:rsidP="00000000" w:rsidRDefault="00000000" w:rsidRPr="00000000" w14:paraId="00000009">
            <w:pPr>
              <w:spacing w:after="20" w:before="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Using:</w:t>
            </w:r>
            <w:r w:rsidDel="00000000" w:rsidR="00000000" w:rsidRPr="00000000">
              <w:rPr>
                <w:rtl w:val="0"/>
              </w:rPr>
            </w:r>
          </w:p>
          <w:p w:rsidR="00000000" w:rsidDel="00000000" w:rsidP="00000000" w:rsidRDefault="00000000" w:rsidRPr="00000000" w14:paraId="0000000A">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Direction</w:t>
            </w:r>
            <w:r w:rsidDel="00000000" w:rsidR="00000000" w:rsidRPr="00000000">
              <w:rPr>
                <w:rtl w:val="0"/>
              </w:rPr>
            </w:r>
          </w:p>
          <w:p w:rsidR="00000000" w:rsidDel="00000000" w:rsidP="00000000" w:rsidRDefault="00000000" w:rsidRPr="00000000" w14:paraId="0000000B">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Latitude and longitude</w:t>
            </w:r>
            <w:r w:rsidDel="00000000" w:rsidR="00000000" w:rsidRPr="00000000">
              <w:rPr>
                <w:rtl w:val="0"/>
              </w:rPr>
            </w:r>
          </w:p>
          <w:p w:rsidR="00000000" w:rsidDel="00000000" w:rsidP="00000000" w:rsidRDefault="00000000" w:rsidRPr="00000000" w14:paraId="0000000C">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Grid references and area references</w:t>
            </w:r>
            <w:r w:rsidDel="00000000" w:rsidR="00000000" w:rsidRPr="00000000">
              <w:rPr>
                <w:rtl w:val="0"/>
              </w:rPr>
            </w:r>
          </w:p>
          <w:p w:rsidR="00000000" w:rsidDel="00000000" w:rsidP="00000000" w:rsidRDefault="00000000" w:rsidRPr="00000000" w14:paraId="0000000D">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Scale</w:t>
            </w:r>
            <w:r w:rsidDel="00000000" w:rsidR="00000000" w:rsidRPr="00000000">
              <w:rPr>
                <w:rtl w:val="0"/>
              </w:rPr>
            </w:r>
          </w:p>
          <w:p w:rsidR="00000000" w:rsidDel="00000000" w:rsidP="00000000" w:rsidRDefault="00000000" w:rsidRPr="00000000" w14:paraId="0000000E">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Political units</w:t>
            </w:r>
            <w:r w:rsidDel="00000000" w:rsidR="00000000" w:rsidRPr="00000000">
              <w:rPr>
                <w:rtl w:val="0"/>
              </w:rPr>
            </w:r>
          </w:p>
        </w:tc>
      </w:tr>
      <w:tr>
        <w:trPr>
          <w:cantSplit w:val="0"/>
          <w:tblHeader w:val="0"/>
        </w:trPr>
        <w:tc>
          <w:tcPr>
            <w:tcBorders>
              <w:top w:color="bdd0e8" w:space="0" w:sz="4" w:val="single"/>
              <w:left w:color="bdd0e8" w:space="0" w:sz="4" w:val="single"/>
              <w:bottom w:color="bdd0e8" w:space="0" w:sz="4" w:val="single"/>
              <w:right w:color="bdd0e8" w:space="0" w:sz="4" w:val="single"/>
            </w:tcBorders>
            <w:shd w:fill="eef5fc" w:val="clear"/>
            <w:tcMar>
              <w:top w:w="100.0" w:type="dxa"/>
              <w:left w:w="160.0" w:type="dxa"/>
              <w:bottom w:w="100.0" w:type="dxa"/>
              <w:right w:w="160.0" w:type="dxa"/>
            </w:tcMar>
            <w:vAlign w:val="center"/>
          </w:tcPr>
          <w:p w:rsidR="00000000" w:rsidDel="00000000" w:rsidP="00000000" w:rsidRDefault="00000000" w:rsidRPr="00000000" w14:paraId="0000000F">
            <w:pPr>
              <w:rPr>
                <w:sz w:val="24"/>
                <w:szCs w:val="24"/>
              </w:rPr>
            </w:pPr>
            <w:r w:rsidDel="00000000" w:rsidR="00000000" w:rsidRPr="00000000">
              <w:rPr>
                <w:rFonts w:ascii="Arial" w:cs="Arial" w:eastAsia="Arial" w:hAnsi="Arial"/>
                <w:b w:val="1"/>
                <w:bCs w:val="1"/>
                <w:color w:val="1b3a6b"/>
                <w:sz w:val="24"/>
                <w:szCs w:val="24"/>
                <w:rtl w:val="0"/>
              </w:rPr>
              <w:t xml:space="preserve">Interpret, analyse and construct tables, graphs, diagrams, cartographic material and images</w:t>
            </w:r>
            <w:r w:rsidDel="00000000" w:rsidR="00000000" w:rsidRPr="00000000">
              <w:rPr>
                <w:rtl w:val="0"/>
              </w:rPr>
            </w:r>
          </w:p>
        </w:tc>
        <w:tc>
          <w:tcPr>
            <w:tcBorders>
              <w:top w:color="bdd0e8" w:space="0" w:sz="4" w:val="single"/>
              <w:left w:color="bdd0e8" w:space="0" w:sz="4" w:val="single"/>
              <w:bottom w:color="bdd0e8" w:space="0" w:sz="4" w:val="single"/>
              <w:right w:color="bdd0e8" w:space="0" w:sz="4" w:val="single"/>
            </w:tcBorders>
            <w:shd w:fill="eef5fc" w:val="clear"/>
            <w:tcMar>
              <w:top w:w="100.0" w:type="dxa"/>
              <w:left w:w="200.0" w:type="dxa"/>
              <w:bottom w:w="100.0" w:type="dxa"/>
              <w:right w:w="160.0" w:type="dxa"/>
            </w:tcMar>
          </w:tcPr>
          <w:p w:rsidR="00000000" w:rsidDel="00000000" w:rsidP="00000000" w:rsidRDefault="00000000" w:rsidRPr="00000000" w14:paraId="00000010">
            <w:pPr>
              <w:spacing w:after="20" w:before="6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Maps — all kinds, including:</w:t>
            </w:r>
            <w:r w:rsidDel="00000000" w:rsidR="00000000" w:rsidRPr="00000000">
              <w:rPr>
                <w:rtl w:val="0"/>
              </w:rPr>
            </w:r>
          </w:p>
          <w:p w:rsidR="00000000" w:rsidDel="00000000" w:rsidP="00000000" w:rsidRDefault="00000000" w:rsidRPr="00000000" w14:paraId="00000011">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Isoline and isopleth maps</w:t>
            </w:r>
            <w:r w:rsidDel="00000000" w:rsidR="00000000" w:rsidRPr="00000000">
              <w:rPr>
                <w:rtl w:val="0"/>
              </w:rPr>
            </w:r>
          </w:p>
          <w:p w:rsidR="00000000" w:rsidDel="00000000" w:rsidP="00000000" w:rsidRDefault="00000000" w:rsidRPr="00000000" w14:paraId="00000012">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Choropleth maps</w:t>
            </w:r>
            <w:r w:rsidDel="00000000" w:rsidR="00000000" w:rsidRPr="00000000">
              <w:rPr>
                <w:rtl w:val="0"/>
              </w:rPr>
            </w:r>
          </w:p>
          <w:p w:rsidR="00000000" w:rsidDel="00000000" w:rsidP="00000000" w:rsidRDefault="00000000" w:rsidRPr="00000000" w14:paraId="00000013">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Topological maps</w:t>
            </w:r>
            <w:r w:rsidDel="00000000" w:rsidR="00000000" w:rsidRPr="00000000">
              <w:rPr>
                <w:rtl w:val="0"/>
              </w:rPr>
            </w:r>
          </w:p>
          <w:p w:rsidR="00000000" w:rsidDel="00000000" w:rsidP="00000000" w:rsidRDefault="00000000" w:rsidRPr="00000000" w14:paraId="00000014">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Dot maps</w:t>
            </w:r>
            <w:r w:rsidDel="00000000" w:rsidR="00000000" w:rsidRPr="00000000">
              <w:rPr>
                <w:rtl w:val="0"/>
              </w:rPr>
            </w:r>
          </w:p>
          <w:p w:rsidR="00000000" w:rsidDel="00000000" w:rsidP="00000000" w:rsidRDefault="00000000" w:rsidRPr="00000000" w14:paraId="00000015">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Flow maps</w:t>
            </w:r>
            <w:r w:rsidDel="00000000" w:rsidR="00000000" w:rsidRPr="00000000">
              <w:rPr>
                <w:rtl w:val="0"/>
              </w:rPr>
            </w:r>
          </w:p>
          <w:p w:rsidR="00000000" w:rsidDel="00000000" w:rsidP="00000000" w:rsidRDefault="00000000" w:rsidRPr="00000000" w14:paraId="00000016">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Thematic maps (including mental maps)</w:t>
            </w:r>
            <w:r w:rsidDel="00000000" w:rsidR="00000000" w:rsidRPr="00000000">
              <w:rPr>
                <w:rtl w:val="0"/>
              </w:rPr>
            </w:r>
          </w:p>
          <w:p w:rsidR="00000000" w:rsidDel="00000000" w:rsidP="00000000" w:rsidRDefault="00000000" w:rsidRPr="00000000" w14:paraId="00000017">
            <w:pPr>
              <w:spacing w:after="30" w:before="30" w:line="260" w:lineRule="auto"/>
              <w:ind w:left="280" w:hanging="200"/>
              <w:rPr>
                <w:rFonts w:ascii="Arial" w:cs="Arial" w:eastAsia="Arial" w:hAnsi="Arial"/>
                <w:b w:val="1"/>
                <w:bCs w:val="1"/>
                <w:i w:val="1"/>
                <w:iCs w:val="1"/>
                <w:color w:val="2e6db4"/>
                <w:sz w:val="22"/>
                <w:szCs w:val="22"/>
              </w:rPr>
            </w:pPr>
            <w:r w:rsidDel="00000000" w:rsidR="00000000" w:rsidRPr="00000000">
              <w:rPr>
                <w:rFonts w:ascii="Georgia" w:cs="Georgia" w:eastAsia="Georgia" w:hAnsi="Georgia"/>
                <w:color w:val="333333"/>
                <w:sz w:val="22"/>
                <w:szCs w:val="22"/>
                <w:rtl w:val="0"/>
              </w:rPr>
              <w:t xml:space="preserve">• Topographic maps</w:t>
            </w:r>
            <w:r w:rsidDel="00000000" w:rsidR="00000000" w:rsidRPr="00000000">
              <w:rPr>
                <w:rtl w:val="0"/>
              </w:rPr>
            </w:r>
          </w:p>
          <w:p w:rsidR="00000000" w:rsidDel="00000000" w:rsidP="00000000" w:rsidRDefault="00000000" w:rsidRPr="00000000" w14:paraId="00000018">
            <w:pPr>
              <w:spacing w:after="20" w:before="6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Other visual material:</w:t>
            </w:r>
            <w:r w:rsidDel="00000000" w:rsidR="00000000" w:rsidRPr="00000000">
              <w:rPr>
                <w:rtl w:val="0"/>
              </w:rPr>
            </w:r>
          </w:p>
          <w:p w:rsidR="00000000" w:rsidDel="00000000" w:rsidP="00000000" w:rsidRDefault="00000000" w:rsidRPr="00000000" w14:paraId="00000019">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Proportional symbols</w:t>
            </w:r>
            <w:r w:rsidDel="00000000" w:rsidR="00000000" w:rsidRPr="00000000">
              <w:rPr>
                <w:rtl w:val="0"/>
              </w:rPr>
            </w:r>
          </w:p>
          <w:p w:rsidR="00000000" w:rsidDel="00000000" w:rsidP="00000000" w:rsidRDefault="00000000" w:rsidRPr="00000000" w14:paraId="0000001A">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Aerial and ground-level photographs</w:t>
            </w:r>
            <w:r w:rsidDel="00000000" w:rsidR="00000000" w:rsidRPr="00000000">
              <w:rPr>
                <w:rtl w:val="0"/>
              </w:rPr>
            </w:r>
          </w:p>
          <w:p w:rsidR="00000000" w:rsidDel="00000000" w:rsidP="00000000" w:rsidRDefault="00000000" w:rsidRPr="00000000" w14:paraId="0000001B">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Satellite images</w:t>
            </w:r>
            <w:r w:rsidDel="00000000" w:rsidR="00000000" w:rsidRPr="00000000">
              <w:rPr>
                <w:rtl w:val="0"/>
              </w:rPr>
            </w:r>
          </w:p>
          <w:p w:rsidR="00000000" w:rsidDel="00000000" w:rsidP="00000000" w:rsidRDefault="00000000" w:rsidRPr="00000000" w14:paraId="0000001C">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Graphs — scatter, line, bar, compound, triangular, logarithmic, bipolar</w:t>
            </w:r>
            <w:r w:rsidDel="00000000" w:rsidR="00000000" w:rsidRPr="00000000">
              <w:rPr>
                <w:rtl w:val="0"/>
              </w:rPr>
            </w:r>
          </w:p>
          <w:p w:rsidR="00000000" w:rsidDel="00000000" w:rsidP="00000000" w:rsidRDefault="00000000" w:rsidRPr="00000000" w14:paraId="0000001D">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Pie charts</w:t>
            </w:r>
            <w:r w:rsidDel="00000000" w:rsidR="00000000" w:rsidRPr="00000000">
              <w:rPr>
                <w:rtl w:val="0"/>
              </w:rPr>
            </w:r>
          </w:p>
          <w:p w:rsidR="00000000" w:rsidDel="00000000" w:rsidP="00000000" w:rsidRDefault="00000000" w:rsidRPr="00000000" w14:paraId="0000001E">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Flow diagrams / charts</w:t>
            </w:r>
            <w:r w:rsidDel="00000000" w:rsidR="00000000" w:rsidRPr="00000000">
              <w:rPr>
                <w:rtl w:val="0"/>
              </w:rPr>
            </w:r>
          </w:p>
          <w:p w:rsidR="00000000" w:rsidDel="00000000" w:rsidP="00000000" w:rsidRDefault="00000000" w:rsidRPr="00000000" w14:paraId="0000001F">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Population pyramids</w:t>
            </w:r>
            <w:r w:rsidDel="00000000" w:rsidR="00000000" w:rsidRPr="00000000">
              <w:rPr>
                <w:rtl w:val="0"/>
              </w:rPr>
            </w:r>
          </w:p>
          <w:p w:rsidR="00000000" w:rsidDel="00000000" w:rsidP="00000000" w:rsidRDefault="00000000" w:rsidRPr="00000000" w14:paraId="00000020">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Lorenz curves</w:t>
            </w:r>
            <w:r w:rsidDel="00000000" w:rsidR="00000000" w:rsidRPr="00000000">
              <w:rPr>
                <w:rtl w:val="0"/>
              </w:rPr>
            </w:r>
          </w:p>
          <w:p w:rsidR="00000000" w:rsidDel="00000000" w:rsidP="00000000" w:rsidRDefault="00000000" w:rsidRPr="00000000" w14:paraId="00000021">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Cross-profiles (sections)</w:t>
            </w:r>
            <w:r w:rsidDel="00000000" w:rsidR="00000000" w:rsidRPr="00000000">
              <w:rPr>
                <w:rtl w:val="0"/>
              </w:rPr>
            </w:r>
          </w:p>
          <w:p w:rsidR="00000000" w:rsidDel="00000000" w:rsidP="00000000" w:rsidRDefault="00000000" w:rsidRPr="00000000" w14:paraId="00000022">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Rose diagrams</w:t>
            </w:r>
            <w:r w:rsidDel="00000000" w:rsidR="00000000" w:rsidRPr="00000000">
              <w:rPr>
                <w:rtl w:val="0"/>
              </w:rPr>
            </w:r>
          </w:p>
          <w:p w:rsidR="00000000" w:rsidDel="00000000" w:rsidP="00000000" w:rsidRDefault="00000000" w:rsidRPr="00000000" w14:paraId="00000023">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Development diamonds</w:t>
            </w:r>
            <w:r w:rsidDel="00000000" w:rsidR="00000000" w:rsidRPr="00000000">
              <w:rPr>
                <w:rtl w:val="0"/>
              </w:rPr>
            </w:r>
          </w:p>
        </w:tc>
      </w:tr>
      <w:tr>
        <w:trPr>
          <w:cantSplit w:val="0"/>
          <w:tblHeader w:val="0"/>
        </w:trPr>
        <w:tc>
          <w:tcPr>
            <w:tcBorders>
              <w:top w:color="bdd0e8" w:space="0" w:sz="4" w:val="single"/>
              <w:left w:color="bdd0e8" w:space="0" w:sz="4" w:val="single"/>
              <w:bottom w:color="bdd0e8" w:space="0" w:sz="4" w:val="single"/>
              <w:right w:color="bdd0e8" w:space="0" w:sz="4" w:val="single"/>
            </w:tcBorders>
            <w:shd w:fill="ffffff" w:val="clear"/>
            <w:tcMar>
              <w:top w:w="100.0" w:type="dxa"/>
              <w:left w:w="160.0" w:type="dxa"/>
              <w:bottom w:w="100.0" w:type="dxa"/>
              <w:right w:w="160.0" w:type="dxa"/>
            </w:tcMar>
            <w:vAlign w:val="center"/>
          </w:tcPr>
          <w:p w:rsidR="00000000" w:rsidDel="00000000" w:rsidP="00000000" w:rsidRDefault="00000000" w:rsidRPr="00000000" w14:paraId="00000024">
            <w:pPr>
              <w:rPr>
                <w:sz w:val="24"/>
                <w:szCs w:val="24"/>
              </w:rPr>
            </w:pPr>
            <w:r w:rsidDel="00000000" w:rsidR="00000000" w:rsidRPr="00000000">
              <w:rPr>
                <w:rFonts w:ascii="Arial" w:cs="Arial" w:eastAsia="Arial" w:hAnsi="Arial"/>
                <w:b w:val="1"/>
                <w:bCs w:val="1"/>
                <w:color w:val="1b3a6b"/>
                <w:sz w:val="24"/>
                <w:szCs w:val="24"/>
                <w:rtl w:val="0"/>
              </w:rPr>
              <w:t xml:space="preserve">Undertake statistical calculations to show patterns and summarise information</w:t>
            </w:r>
            <w:r w:rsidDel="00000000" w:rsidR="00000000" w:rsidRPr="00000000">
              <w:rPr>
                <w:rtl w:val="0"/>
              </w:rPr>
            </w:r>
          </w:p>
        </w:tc>
        <w:tc>
          <w:tcPr>
            <w:tcBorders>
              <w:top w:color="bdd0e8" w:space="0" w:sz="4" w:val="single"/>
              <w:left w:color="bdd0e8" w:space="0" w:sz="4" w:val="single"/>
              <w:bottom w:color="bdd0e8" w:space="0" w:sz="4" w:val="single"/>
              <w:right w:color="bdd0e8" w:space="0" w:sz="4" w:val="single"/>
            </w:tcBorders>
            <w:shd w:fill="ffffff" w:val="clear"/>
            <w:tcMar>
              <w:top w:w="100.0" w:type="dxa"/>
              <w:left w:w="200.0" w:type="dxa"/>
              <w:bottom w:w="100.0" w:type="dxa"/>
              <w:right w:w="160.0" w:type="dxa"/>
            </w:tcMar>
          </w:tcPr>
          <w:p w:rsidR="00000000" w:rsidDel="00000000" w:rsidP="00000000" w:rsidRDefault="00000000" w:rsidRPr="00000000" w14:paraId="00000025">
            <w:pPr>
              <w:spacing w:after="20" w:before="6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Such as:</w:t>
            </w:r>
            <w:r w:rsidDel="00000000" w:rsidR="00000000" w:rsidRPr="00000000">
              <w:rPr>
                <w:rtl w:val="0"/>
              </w:rPr>
            </w:r>
          </w:p>
          <w:p w:rsidR="00000000" w:rsidDel="00000000" w:rsidP="00000000" w:rsidRDefault="00000000" w:rsidRPr="00000000" w14:paraId="00000026">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Totals</w:t>
            </w:r>
            <w:r w:rsidDel="00000000" w:rsidR="00000000" w:rsidRPr="00000000">
              <w:rPr>
                <w:rtl w:val="0"/>
              </w:rPr>
            </w:r>
          </w:p>
          <w:p w:rsidR="00000000" w:rsidDel="00000000" w:rsidP="00000000" w:rsidRDefault="00000000" w:rsidRPr="00000000" w14:paraId="00000027">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Averages (means, medians, modes)</w:t>
            </w:r>
            <w:r w:rsidDel="00000000" w:rsidR="00000000" w:rsidRPr="00000000">
              <w:rPr>
                <w:rtl w:val="0"/>
              </w:rPr>
            </w:r>
          </w:p>
          <w:p w:rsidR="00000000" w:rsidDel="00000000" w:rsidP="00000000" w:rsidRDefault="00000000" w:rsidRPr="00000000" w14:paraId="00000028">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Frequencies</w:t>
            </w:r>
            <w:r w:rsidDel="00000000" w:rsidR="00000000" w:rsidRPr="00000000">
              <w:rPr>
                <w:rtl w:val="0"/>
              </w:rPr>
            </w:r>
          </w:p>
          <w:p w:rsidR="00000000" w:rsidDel="00000000" w:rsidP="00000000" w:rsidRDefault="00000000" w:rsidRPr="00000000" w14:paraId="00000029">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Ranges of data (differences between maximum and minimum)</w:t>
            </w:r>
            <w:r w:rsidDel="00000000" w:rsidR="00000000" w:rsidRPr="00000000">
              <w:rPr>
                <w:rtl w:val="0"/>
              </w:rPr>
            </w:r>
          </w:p>
          <w:p w:rsidR="00000000" w:rsidDel="00000000" w:rsidP="00000000" w:rsidRDefault="00000000" w:rsidRPr="00000000" w14:paraId="0000002A">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Densities</w:t>
            </w:r>
            <w:r w:rsidDel="00000000" w:rsidR="00000000" w:rsidRPr="00000000">
              <w:rPr>
                <w:rtl w:val="0"/>
              </w:rPr>
            </w:r>
          </w:p>
          <w:p w:rsidR="00000000" w:rsidDel="00000000" w:rsidP="00000000" w:rsidRDefault="00000000" w:rsidRPr="00000000" w14:paraId="0000002B">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Percentages</w:t>
            </w:r>
            <w:r w:rsidDel="00000000" w:rsidR="00000000" w:rsidRPr="00000000">
              <w:rPr>
                <w:rtl w:val="0"/>
              </w:rPr>
            </w:r>
          </w:p>
          <w:p w:rsidR="00000000" w:rsidDel="00000000" w:rsidP="00000000" w:rsidRDefault="00000000" w:rsidRPr="00000000" w14:paraId="0000002C">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Ratios</w:t>
            </w:r>
            <w:r w:rsidDel="00000000" w:rsidR="00000000" w:rsidRPr="00000000">
              <w:rPr>
                <w:rtl w:val="0"/>
              </w:rPr>
            </w:r>
          </w:p>
        </w:tc>
      </w:tr>
      <w:tr>
        <w:trPr>
          <w:cantSplit w:val="0"/>
          <w:tblHeader w:val="0"/>
        </w:trPr>
        <w:tc>
          <w:tcPr>
            <w:tcBorders>
              <w:top w:color="bdd0e8" w:space="0" w:sz="4" w:val="single"/>
              <w:left w:color="bdd0e8" w:space="0" w:sz="4" w:val="single"/>
              <w:bottom w:color="bdd0e8" w:space="0" w:sz="4" w:val="single"/>
              <w:right w:color="bdd0e8" w:space="0" w:sz="4" w:val="single"/>
            </w:tcBorders>
            <w:shd w:fill="eef5fc" w:val="clear"/>
            <w:tcMar>
              <w:top w:w="100.0" w:type="dxa"/>
              <w:left w:w="160.0" w:type="dxa"/>
              <w:bottom w:w="100.0" w:type="dxa"/>
              <w:right w:w="160.0" w:type="dxa"/>
            </w:tcMar>
            <w:vAlign w:val="center"/>
          </w:tcPr>
          <w:p w:rsidR="00000000" w:rsidDel="00000000" w:rsidP="00000000" w:rsidRDefault="00000000" w:rsidRPr="00000000" w14:paraId="0000002D">
            <w:pPr>
              <w:rPr>
                <w:sz w:val="24"/>
                <w:szCs w:val="24"/>
              </w:rPr>
            </w:pPr>
            <w:r w:rsidDel="00000000" w:rsidR="00000000" w:rsidRPr="00000000">
              <w:rPr>
                <w:rFonts w:ascii="Arial" w:cs="Arial" w:eastAsia="Arial" w:hAnsi="Arial"/>
                <w:b w:val="1"/>
                <w:bCs w:val="1"/>
                <w:color w:val="1b3a6b"/>
                <w:sz w:val="24"/>
                <w:szCs w:val="24"/>
                <w:rtl w:val="0"/>
              </w:rPr>
              <w:t xml:space="preserve">Research, process and interpret data and information</w:t>
            </w:r>
            <w:r w:rsidDel="00000000" w:rsidR="00000000" w:rsidRPr="00000000">
              <w:rPr>
                <w:rtl w:val="0"/>
              </w:rPr>
            </w:r>
          </w:p>
        </w:tc>
        <w:tc>
          <w:tcPr>
            <w:tcBorders>
              <w:top w:color="bdd0e8" w:space="0" w:sz="4" w:val="single"/>
              <w:left w:color="bdd0e8" w:space="0" w:sz="4" w:val="single"/>
              <w:bottom w:color="bdd0e8" w:space="0" w:sz="4" w:val="single"/>
              <w:right w:color="bdd0e8" w:space="0" w:sz="4" w:val="single"/>
            </w:tcBorders>
            <w:shd w:fill="eef5fc" w:val="clear"/>
            <w:tcMar>
              <w:top w:w="100.0" w:type="dxa"/>
              <w:left w:w="200.0" w:type="dxa"/>
              <w:bottom w:w="100.0" w:type="dxa"/>
              <w:right w:w="160.0" w:type="dxa"/>
            </w:tcMar>
          </w:tcPr>
          <w:p w:rsidR="00000000" w:rsidDel="00000000" w:rsidP="00000000" w:rsidRDefault="00000000" w:rsidRPr="00000000" w14:paraId="0000002E">
            <w:pPr>
              <w:spacing w:after="20" w:before="6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Measures and indices:</w:t>
            </w:r>
            <w:r w:rsidDel="00000000" w:rsidR="00000000" w:rsidRPr="00000000">
              <w:rPr>
                <w:rtl w:val="0"/>
              </w:rPr>
            </w:r>
          </w:p>
          <w:p w:rsidR="00000000" w:rsidDel="00000000" w:rsidP="00000000" w:rsidRDefault="00000000" w:rsidRPr="00000000" w14:paraId="0000002F">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Measures of correlation (Spearman rank, chi-squared)</w:t>
            </w:r>
            <w:r w:rsidDel="00000000" w:rsidR="00000000" w:rsidRPr="00000000">
              <w:rPr>
                <w:rtl w:val="0"/>
              </w:rPr>
            </w:r>
          </w:p>
          <w:p w:rsidR="00000000" w:rsidDel="00000000" w:rsidP="00000000" w:rsidRDefault="00000000" w:rsidRPr="00000000" w14:paraId="00000030">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Measures of concentration and dispersion (nearest neighbour, location quotients)</w:t>
            </w:r>
            <w:r w:rsidDel="00000000" w:rsidR="00000000" w:rsidRPr="00000000">
              <w:rPr>
                <w:rtl w:val="0"/>
              </w:rPr>
            </w:r>
          </w:p>
          <w:p w:rsidR="00000000" w:rsidDel="00000000" w:rsidP="00000000" w:rsidRDefault="00000000" w:rsidRPr="00000000" w14:paraId="00000031">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Measures of spatial interactions and diversity</w:t>
            </w:r>
            <w:r w:rsidDel="00000000" w:rsidR="00000000" w:rsidRPr="00000000">
              <w:rPr>
                <w:rtl w:val="0"/>
              </w:rPr>
            </w:r>
          </w:p>
          <w:p w:rsidR="00000000" w:rsidDel="00000000" w:rsidP="00000000" w:rsidRDefault="00000000" w:rsidRPr="00000000" w14:paraId="00000032">
            <w:pPr>
              <w:spacing w:after="30" w:before="30" w:line="260" w:lineRule="auto"/>
              <w:ind w:left="280" w:hanging="200"/>
              <w:rPr>
                <w:rFonts w:ascii="Arial" w:cs="Arial" w:eastAsia="Arial" w:hAnsi="Arial"/>
                <w:b w:val="1"/>
                <w:bCs w:val="1"/>
                <w:i w:val="1"/>
                <w:iCs w:val="1"/>
                <w:color w:val="2e6db4"/>
                <w:sz w:val="22"/>
                <w:szCs w:val="22"/>
              </w:rPr>
            </w:pPr>
            <w:r w:rsidDel="00000000" w:rsidR="00000000" w:rsidRPr="00000000">
              <w:rPr>
                <w:rFonts w:ascii="Georgia" w:cs="Georgia" w:eastAsia="Georgia" w:hAnsi="Georgia"/>
                <w:color w:val="333333"/>
                <w:sz w:val="22"/>
                <w:szCs w:val="22"/>
                <w:rtl w:val="0"/>
              </w:rPr>
              <w:t xml:space="preserve">• Indices and ratios (Gini coefficient, ecological footprint, HDI, dependency ratio)</w:t>
            </w:r>
            <w:r w:rsidDel="00000000" w:rsidR="00000000" w:rsidRPr="00000000">
              <w:rPr>
                <w:rtl w:val="0"/>
              </w:rPr>
            </w:r>
          </w:p>
          <w:p w:rsidR="00000000" w:rsidDel="00000000" w:rsidP="00000000" w:rsidRDefault="00000000" w:rsidRPr="00000000" w14:paraId="00000033">
            <w:pPr>
              <w:spacing w:after="20" w:before="6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Types of data:</w:t>
            </w:r>
            <w:r w:rsidDel="00000000" w:rsidR="00000000" w:rsidRPr="00000000">
              <w:rPr>
                <w:rtl w:val="0"/>
              </w:rPr>
            </w:r>
          </w:p>
          <w:p w:rsidR="00000000" w:rsidDel="00000000" w:rsidP="00000000" w:rsidRDefault="00000000" w:rsidRPr="00000000" w14:paraId="00000034">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Textual information</w:t>
            </w:r>
            <w:r w:rsidDel="00000000" w:rsidR="00000000" w:rsidRPr="00000000">
              <w:rPr>
                <w:rtl w:val="0"/>
              </w:rPr>
            </w:r>
          </w:p>
          <w:p w:rsidR="00000000" w:rsidDel="00000000" w:rsidP="00000000" w:rsidRDefault="00000000" w:rsidRPr="00000000" w14:paraId="00000035">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Observations</w:t>
            </w:r>
            <w:r w:rsidDel="00000000" w:rsidR="00000000" w:rsidRPr="00000000">
              <w:rPr>
                <w:rtl w:val="0"/>
              </w:rPr>
            </w:r>
          </w:p>
          <w:p w:rsidR="00000000" w:rsidDel="00000000" w:rsidP="00000000" w:rsidRDefault="00000000" w:rsidRPr="00000000" w14:paraId="00000036">
            <w:pPr>
              <w:spacing w:after="30" w:before="30" w:line="260" w:lineRule="auto"/>
              <w:ind w:left="280" w:hanging="200"/>
              <w:rPr>
                <w:rFonts w:ascii="Arial" w:cs="Arial" w:eastAsia="Arial" w:hAnsi="Arial"/>
                <w:b w:val="1"/>
                <w:bCs w:val="1"/>
                <w:i w:val="1"/>
                <w:iCs w:val="1"/>
                <w:color w:val="2e6db4"/>
                <w:sz w:val="22"/>
                <w:szCs w:val="22"/>
              </w:rPr>
            </w:pPr>
            <w:r w:rsidDel="00000000" w:rsidR="00000000" w:rsidRPr="00000000">
              <w:rPr>
                <w:rFonts w:ascii="Georgia" w:cs="Georgia" w:eastAsia="Georgia" w:hAnsi="Georgia"/>
                <w:color w:val="333333"/>
                <w:sz w:val="22"/>
                <w:szCs w:val="22"/>
                <w:rtl w:val="0"/>
              </w:rPr>
              <w:t xml:space="preserve">• Opinions, values and perceptions</w:t>
            </w:r>
            <w:r w:rsidDel="00000000" w:rsidR="00000000" w:rsidRPr="00000000">
              <w:rPr>
                <w:rtl w:val="0"/>
              </w:rPr>
            </w:r>
          </w:p>
          <w:p w:rsidR="00000000" w:rsidDel="00000000" w:rsidP="00000000" w:rsidRDefault="00000000" w:rsidRPr="00000000" w14:paraId="00000037">
            <w:pPr>
              <w:spacing w:after="20" w:before="6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Processing and interpreting:</w:t>
            </w:r>
            <w:r w:rsidDel="00000000" w:rsidR="00000000" w:rsidRPr="00000000">
              <w:rPr>
                <w:rtl w:val="0"/>
              </w:rPr>
            </w:r>
          </w:p>
          <w:p w:rsidR="00000000" w:rsidDel="00000000" w:rsidP="00000000" w:rsidRDefault="00000000" w:rsidRPr="00000000" w14:paraId="00000038">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Classify, analyse, and describe patterns, trends and relationships</w:t>
            </w:r>
            <w:r w:rsidDel="00000000" w:rsidR="00000000" w:rsidRPr="00000000">
              <w:rPr>
                <w:rtl w:val="0"/>
              </w:rPr>
            </w:r>
          </w:p>
          <w:p w:rsidR="00000000" w:rsidDel="00000000" w:rsidP="00000000" w:rsidRDefault="00000000" w:rsidRPr="00000000" w14:paraId="00000039">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Make generalisations and identify anomalies</w:t>
            </w:r>
            <w:r w:rsidDel="00000000" w:rsidR="00000000" w:rsidRPr="00000000">
              <w:rPr>
                <w:rtl w:val="0"/>
              </w:rPr>
            </w:r>
          </w:p>
          <w:p w:rsidR="00000000" w:rsidDel="00000000" w:rsidP="00000000" w:rsidRDefault="00000000" w:rsidRPr="00000000" w14:paraId="0000003A">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Make inferences and predictions</w:t>
            </w:r>
            <w:r w:rsidDel="00000000" w:rsidR="00000000" w:rsidRPr="00000000">
              <w:rPr>
                <w:rtl w:val="0"/>
              </w:rPr>
            </w:r>
          </w:p>
          <w:p w:rsidR="00000000" w:rsidDel="00000000" w:rsidP="00000000" w:rsidRDefault="00000000" w:rsidRPr="00000000" w14:paraId="0000003B">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Make and justify decisions; draw conclusions</w:t>
            </w:r>
            <w:r w:rsidDel="00000000" w:rsidR="00000000" w:rsidRPr="00000000">
              <w:rPr>
                <w:rtl w:val="0"/>
              </w:rPr>
            </w:r>
          </w:p>
          <w:p w:rsidR="00000000" w:rsidDel="00000000" w:rsidP="00000000" w:rsidRDefault="00000000" w:rsidRPr="00000000" w14:paraId="0000003C">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Evaluate methodology</w:t>
            </w:r>
            <w:r w:rsidDel="00000000" w:rsidR="00000000" w:rsidRPr="00000000">
              <w:rPr>
                <w:rtl w:val="0"/>
              </w:rPr>
            </w:r>
          </w:p>
        </w:tc>
      </w:tr>
      <w:tr>
        <w:trPr>
          <w:cantSplit w:val="0"/>
          <w:tblHeader w:val="0"/>
        </w:trPr>
        <w:tc>
          <w:tcPr>
            <w:tcBorders>
              <w:top w:color="bdd0e8" w:space="0" w:sz="4" w:val="single"/>
              <w:left w:color="bdd0e8" w:space="0" w:sz="4" w:val="single"/>
              <w:bottom w:color="bdd0e8" w:space="0" w:sz="4" w:val="single"/>
              <w:right w:color="bdd0e8" w:space="0" w:sz="4" w:val="single"/>
            </w:tcBorders>
            <w:shd w:fill="ffffff" w:val="clear"/>
            <w:tcMar>
              <w:top w:w="100.0" w:type="dxa"/>
              <w:left w:w="160.0" w:type="dxa"/>
              <w:bottom w:w="100.0" w:type="dxa"/>
              <w:right w:w="160.0" w:type="dxa"/>
            </w:tcMar>
            <w:vAlign w:val="center"/>
          </w:tcPr>
          <w:p w:rsidR="00000000" w:rsidDel="00000000" w:rsidP="00000000" w:rsidRDefault="00000000" w:rsidRPr="00000000" w14:paraId="0000003D">
            <w:pPr>
              <w:rPr>
                <w:sz w:val="24"/>
                <w:szCs w:val="24"/>
              </w:rPr>
            </w:pPr>
            <w:r w:rsidDel="00000000" w:rsidR="00000000" w:rsidRPr="00000000">
              <w:rPr>
                <w:rFonts w:ascii="Arial" w:cs="Arial" w:eastAsia="Arial" w:hAnsi="Arial"/>
                <w:b w:val="1"/>
                <w:bCs w:val="1"/>
                <w:color w:val="1b3a6b"/>
                <w:sz w:val="24"/>
                <w:szCs w:val="24"/>
                <w:rtl w:val="0"/>
              </w:rPr>
              <w:t xml:space="preserve">Collect and select relevant geographic information</w:t>
            </w:r>
            <w:r w:rsidDel="00000000" w:rsidR="00000000" w:rsidRPr="00000000">
              <w:rPr>
                <w:rtl w:val="0"/>
              </w:rPr>
            </w:r>
          </w:p>
        </w:tc>
        <w:tc>
          <w:tcPr>
            <w:tcBorders>
              <w:top w:color="bdd0e8" w:space="0" w:sz="4" w:val="single"/>
              <w:left w:color="bdd0e8" w:space="0" w:sz="4" w:val="single"/>
              <w:bottom w:color="bdd0e8" w:space="0" w:sz="4" w:val="single"/>
              <w:right w:color="bdd0e8" w:space="0" w:sz="4" w:val="single"/>
            </w:tcBorders>
            <w:shd w:fill="ffffff" w:val="clear"/>
            <w:tcMar>
              <w:top w:w="100.0" w:type="dxa"/>
              <w:left w:w="200.0" w:type="dxa"/>
              <w:bottom w:w="100.0" w:type="dxa"/>
              <w:right w:w="160.0" w:type="dxa"/>
            </w:tcMar>
          </w:tcPr>
          <w:p w:rsidR="00000000" w:rsidDel="00000000" w:rsidP="00000000" w:rsidRDefault="00000000" w:rsidRPr="00000000" w14:paraId="0000003E">
            <w:pPr>
              <w:spacing w:after="20" w:before="6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Making:</w:t>
            </w:r>
            <w:r w:rsidDel="00000000" w:rsidR="00000000" w:rsidRPr="00000000">
              <w:rPr>
                <w:rtl w:val="0"/>
              </w:rPr>
            </w:r>
          </w:p>
          <w:p w:rsidR="00000000" w:rsidDel="00000000" w:rsidP="00000000" w:rsidRDefault="00000000" w:rsidRPr="00000000" w14:paraId="0000003F">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Observations, including field sketches and sketch maps</w:t>
            </w:r>
            <w:r w:rsidDel="00000000" w:rsidR="00000000" w:rsidRPr="00000000">
              <w:rPr>
                <w:rtl w:val="0"/>
              </w:rPr>
            </w:r>
          </w:p>
          <w:p w:rsidR="00000000" w:rsidDel="00000000" w:rsidP="00000000" w:rsidRDefault="00000000" w:rsidRPr="00000000" w14:paraId="00000040">
            <w:pPr>
              <w:spacing w:after="30" w:before="30" w:line="260" w:lineRule="auto"/>
              <w:ind w:left="280" w:hanging="200"/>
              <w:rPr>
                <w:rFonts w:ascii="Arial" w:cs="Arial" w:eastAsia="Arial" w:hAnsi="Arial"/>
                <w:b w:val="1"/>
                <w:bCs w:val="1"/>
                <w:i w:val="1"/>
                <w:iCs w:val="1"/>
                <w:color w:val="2e6db4"/>
                <w:sz w:val="22"/>
                <w:szCs w:val="22"/>
              </w:rPr>
            </w:pPr>
            <w:r w:rsidDel="00000000" w:rsidR="00000000" w:rsidRPr="00000000">
              <w:rPr>
                <w:rFonts w:ascii="Georgia" w:cs="Georgia" w:eastAsia="Georgia" w:hAnsi="Georgia"/>
                <w:color w:val="333333"/>
                <w:sz w:val="22"/>
                <w:szCs w:val="22"/>
                <w:rtl w:val="0"/>
              </w:rPr>
              <w:t xml:space="preserve">• Images</w:t>
            </w:r>
            <w:r w:rsidDel="00000000" w:rsidR="00000000" w:rsidRPr="00000000">
              <w:rPr>
                <w:rtl w:val="0"/>
              </w:rPr>
            </w:r>
          </w:p>
          <w:p w:rsidR="00000000" w:rsidDel="00000000" w:rsidP="00000000" w:rsidRDefault="00000000" w:rsidRPr="00000000" w14:paraId="00000041">
            <w:pPr>
              <w:spacing w:after="20" w:before="6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Conducting:</w:t>
            </w:r>
            <w:r w:rsidDel="00000000" w:rsidR="00000000" w:rsidRPr="00000000">
              <w:rPr>
                <w:rtl w:val="0"/>
              </w:rPr>
            </w:r>
          </w:p>
          <w:p w:rsidR="00000000" w:rsidDel="00000000" w:rsidP="00000000" w:rsidRDefault="00000000" w:rsidRPr="00000000" w14:paraId="00000042">
            <w:pPr>
              <w:spacing w:after="30" w:before="30" w:line="260" w:lineRule="auto"/>
              <w:ind w:left="280" w:hanging="200"/>
              <w:rPr>
                <w:rFonts w:ascii="Arial" w:cs="Arial" w:eastAsia="Arial" w:hAnsi="Arial"/>
                <w:b w:val="1"/>
                <w:bCs w:val="1"/>
                <w:i w:val="1"/>
                <w:iCs w:val="1"/>
                <w:color w:val="2e6db4"/>
                <w:sz w:val="22"/>
                <w:szCs w:val="22"/>
              </w:rPr>
            </w:pPr>
            <w:r w:rsidDel="00000000" w:rsidR="00000000" w:rsidRPr="00000000">
              <w:rPr>
                <w:rFonts w:ascii="Georgia" w:cs="Georgia" w:eastAsia="Georgia" w:hAnsi="Georgia"/>
                <w:color w:val="333333"/>
                <w:sz w:val="22"/>
                <w:szCs w:val="22"/>
                <w:rtl w:val="0"/>
              </w:rPr>
              <w:t xml:space="preserve">• Interviews</w:t>
            </w:r>
            <w:r w:rsidDel="00000000" w:rsidR="00000000" w:rsidRPr="00000000">
              <w:rPr>
                <w:rtl w:val="0"/>
              </w:rPr>
            </w:r>
          </w:p>
          <w:p w:rsidR="00000000" w:rsidDel="00000000" w:rsidP="00000000" w:rsidRDefault="00000000" w:rsidRPr="00000000" w14:paraId="00000043">
            <w:pPr>
              <w:spacing w:after="20" w:before="6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Taking:</w:t>
            </w:r>
            <w:r w:rsidDel="00000000" w:rsidR="00000000" w:rsidRPr="00000000">
              <w:rPr>
                <w:rtl w:val="0"/>
              </w:rPr>
            </w:r>
          </w:p>
          <w:p w:rsidR="00000000" w:rsidDel="00000000" w:rsidP="00000000" w:rsidRDefault="00000000" w:rsidRPr="00000000" w14:paraId="00000044">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Measurements</w:t>
            </w:r>
            <w:r w:rsidDel="00000000" w:rsidR="00000000" w:rsidRPr="00000000">
              <w:rPr>
                <w:rtl w:val="0"/>
              </w:rPr>
            </w:r>
          </w:p>
        </w:tc>
      </w:tr>
      <w:tr>
        <w:trPr>
          <w:cantSplit w:val="0"/>
          <w:tblHeader w:val="0"/>
        </w:trPr>
        <w:tc>
          <w:tcPr>
            <w:tcBorders>
              <w:top w:color="bdd0e8" w:space="0" w:sz="4" w:val="single"/>
              <w:left w:color="bdd0e8" w:space="0" w:sz="4" w:val="single"/>
              <w:bottom w:color="bdd0e8" w:space="0" w:sz="4" w:val="single"/>
              <w:right w:color="bdd0e8" w:space="0" w:sz="4" w:val="single"/>
            </w:tcBorders>
            <w:shd w:fill="eef5fc" w:val="clear"/>
            <w:tcMar>
              <w:top w:w="100.0" w:type="dxa"/>
              <w:left w:w="160.0" w:type="dxa"/>
              <w:bottom w:w="100.0" w:type="dxa"/>
              <w:right w:w="160.0" w:type="dxa"/>
            </w:tcMar>
            <w:vAlign w:val="center"/>
          </w:tcPr>
          <w:p w:rsidR="00000000" w:rsidDel="00000000" w:rsidP="00000000" w:rsidRDefault="00000000" w:rsidRPr="00000000" w14:paraId="00000045">
            <w:pPr>
              <w:rPr>
                <w:sz w:val="24"/>
                <w:szCs w:val="24"/>
              </w:rPr>
            </w:pPr>
            <w:r w:rsidDel="00000000" w:rsidR="00000000" w:rsidRPr="00000000">
              <w:rPr>
                <w:rFonts w:ascii="Arial" w:cs="Arial" w:eastAsia="Arial" w:hAnsi="Arial"/>
                <w:b w:val="1"/>
                <w:bCs w:val="1"/>
                <w:color w:val="1b3a6b"/>
                <w:sz w:val="24"/>
                <w:szCs w:val="24"/>
                <w:rtl w:val="0"/>
              </w:rPr>
              <w:t xml:space="preserve">Evaluate sources of geographic information</w:t>
            </w:r>
            <w:r w:rsidDel="00000000" w:rsidR="00000000" w:rsidRPr="00000000">
              <w:rPr>
                <w:rtl w:val="0"/>
              </w:rPr>
            </w:r>
          </w:p>
        </w:tc>
        <w:tc>
          <w:tcPr>
            <w:tcBorders>
              <w:top w:color="bdd0e8" w:space="0" w:sz="4" w:val="single"/>
              <w:left w:color="bdd0e8" w:space="0" w:sz="4" w:val="single"/>
              <w:bottom w:color="bdd0e8" w:space="0" w:sz="4" w:val="single"/>
              <w:right w:color="bdd0e8" w:space="0" w:sz="4" w:val="single"/>
            </w:tcBorders>
            <w:shd w:fill="eef5fc" w:val="clear"/>
            <w:tcMar>
              <w:top w:w="100.0" w:type="dxa"/>
              <w:left w:w="200.0" w:type="dxa"/>
              <w:bottom w:w="100.0" w:type="dxa"/>
              <w:right w:w="160.0" w:type="dxa"/>
            </w:tcMar>
          </w:tcPr>
          <w:p w:rsidR="00000000" w:rsidDel="00000000" w:rsidP="00000000" w:rsidRDefault="00000000" w:rsidRPr="00000000" w14:paraId="00000046">
            <w:pPr>
              <w:spacing w:after="20" w:before="6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In terms of:</w:t>
            </w:r>
            <w:r w:rsidDel="00000000" w:rsidR="00000000" w:rsidRPr="00000000">
              <w:rPr>
                <w:rtl w:val="0"/>
              </w:rPr>
            </w:r>
          </w:p>
          <w:p w:rsidR="00000000" w:rsidDel="00000000" w:rsidP="00000000" w:rsidRDefault="00000000" w:rsidRPr="00000000" w14:paraId="00000047">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Accuracy</w:t>
            </w:r>
            <w:r w:rsidDel="00000000" w:rsidR="00000000" w:rsidRPr="00000000">
              <w:rPr>
                <w:rtl w:val="0"/>
              </w:rPr>
            </w:r>
          </w:p>
          <w:p w:rsidR="00000000" w:rsidDel="00000000" w:rsidP="00000000" w:rsidRDefault="00000000" w:rsidRPr="00000000" w14:paraId="00000048">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Relevance</w:t>
            </w:r>
            <w:r w:rsidDel="00000000" w:rsidR="00000000" w:rsidRPr="00000000">
              <w:rPr>
                <w:rtl w:val="0"/>
              </w:rPr>
            </w:r>
          </w:p>
          <w:p w:rsidR="00000000" w:rsidDel="00000000" w:rsidP="00000000" w:rsidRDefault="00000000" w:rsidRPr="00000000" w14:paraId="00000049">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Bias</w:t>
            </w:r>
            <w:r w:rsidDel="00000000" w:rsidR="00000000" w:rsidRPr="00000000">
              <w:rPr>
                <w:rtl w:val="0"/>
              </w:rPr>
            </w:r>
          </w:p>
        </w:tc>
      </w:tr>
      <w:tr>
        <w:trPr>
          <w:cantSplit w:val="0"/>
          <w:tblHeader w:val="0"/>
        </w:trPr>
        <w:tc>
          <w:tcPr>
            <w:tcBorders>
              <w:top w:color="bdd0e8" w:space="0" w:sz="4" w:val="single"/>
              <w:left w:color="bdd0e8" w:space="0" w:sz="4" w:val="single"/>
              <w:bottom w:color="bdd0e8" w:space="0" w:sz="4" w:val="single"/>
              <w:right w:color="bdd0e8" w:space="0" w:sz="4" w:val="single"/>
            </w:tcBorders>
            <w:shd w:fill="ffffff" w:val="clear"/>
            <w:tcMar>
              <w:top w:w="100.0" w:type="dxa"/>
              <w:left w:w="160.0" w:type="dxa"/>
              <w:bottom w:w="100.0" w:type="dxa"/>
              <w:right w:w="160.0" w:type="dxa"/>
            </w:tcMar>
            <w:vAlign w:val="center"/>
          </w:tcPr>
          <w:p w:rsidR="00000000" w:rsidDel="00000000" w:rsidP="00000000" w:rsidRDefault="00000000" w:rsidRPr="00000000" w14:paraId="0000004A">
            <w:pPr>
              <w:rPr>
                <w:sz w:val="24"/>
                <w:szCs w:val="24"/>
              </w:rPr>
            </w:pPr>
            <w:r w:rsidDel="00000000" w:rsidR="00000000" w:rsidRPr="00000000">
              <w:rPr>
                <w:rFonts w:ascii="Arial" w:cs="Arial" w:eastAsia="Arial" w:hAnsi="Arial"/>
                <w:b w:val="1"/>
                <w:bCs w:val="1"/>
                <w:color w:val="1b3a6b"/>
                <w:sz w:val="24"/>
                <w:szCs w:val="24"/>
                <w:rtl w:val="0"/>
              </w:rPr>
              <w:t xml:space="preserve">Produce written material (including essays, reports and investigations)</w:t>
            </w:r>
            <w:r w:rsidDel="00000000" w:rsidR="00000000" w:rsidRPr="00000000">
              <w:rPr>
                <w:rtl w:val="0"/>
              </w:rPr>
            </w:r>
          </w:p>
        </w:tc>
        <w:tc>
          <w:tcPr>
            <w:tcBorders>
              <w:top w:color="bdd0e8" w:space="0" w:sz="4" w:val="single"/>
              <w:left w:color="bdd0e8" w:space="0" w:sz="4" w:val="single"/>
              <w:bottom w:color="bdd0e8" w:space="0" w:sz="4" w:val="single"/>
              <w:right w:color="bdd0e8" w:space="0" w:sz="4" w:val="single"/>
            </w:tcBorders>
            <w:shd w:fill="ffffff" w:val="clear"/>
            <w:tcMar>
              <w:top w:w="100.0" w:type="dxa"/>
              <w:left w:w="200.0" w:type="dxa"/>
              <w:bottom w:w="100.0" w:type="dxa"/>
              <w:right w:w="160.0" w:type="dxa"/>
            </w:tcMar>
          </w:tcPr>
          <w:p w:rsidR="00000000" w:rsidDel="00000000" w:rsidP="00000000" w:rsidRDefault="00000000" w:rsidRPr="00000000" w14:paraId="0000004B">
            <w:pPr>
              <w:spacing w:after="20" w:before="6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Presenting:</w:t>
            </w:r>
            <w:r w:rsidDel="00000000" w:rsidR="00000000" w:rsidRPr="00000000">
              <w:rPr>
                <w:rtl w:val="0"/>
              </w:rPr>
            </w:r>
          </w:p>
          <w:p w:rsidR="00000000" w:rsidDel="00000000" w:rsidP="00000000" w:rsidRDefault="00000000" w:rsidRPr="00000000" w14:paraId="0000004C">
            <w:pPr>
              <w:spacing w:after="30" w:before="30" w:line="260" w:lineRule="auto"/>
              <w:ind w:left="280" w:hanging="200"/>
              <w:rPr>
                <w:rFonts w:ascii="Arial" w:cs="Arial" w:eastAsia="Arial" w:hAnsi="Arial"/>
                <w:b w:val="1"/>
                <w:bCs w:val="1"/>
                <w:i w:val="1"/>
                <w:iCs w:val="1"/>
                <w:color w:val="2e6db4"/>
                <w:sz w:val="22"/>
                <w:szCs w:val="22"/>
              </w:rPr>
            </w:pPr>
            <w:r w:rsidDel="00000000" w:rsidR="00000000" w:rsidRPr="00000000">
              <w:rPr>
                <w:rFonts w:ascii="Georgia" w:cs="Georgia" w:eastAsia="Georgia" w:hAnsi="Georgia"/>
                <w:color w:val="333333"/>
                <w:sz w:val="22"/>
                <w:szCs w:val="22"/>
                <w:rtl w:val="0"/>
              </w:rPr>
              <w:t xml:space="preserve">• Material in a clear and well-structured way</w:t>
            </w:r>
            <w:r w:rsidDel="00000000" w:rsidR="00000000" w:rsidRPr="00000000">
              <w:rPr>
                <w:rtl w:val="0"/>
              </w:rPr>
            </w:r>
          </w:p>
          <w:p w:rsidR="00000000" w:rsidDel="00000000" w:rsidP="00000000" w:rsidRDefault="00000000" w:rsidRPr="00000000" w14:paraId="0000004D">
            <w:pPr>
              <w:spacing w:after="20" w:before="60" w:line="260" w:lineRule="auto"/>
              <w:rPr>
                <w:sz w:val="22"/>
                <w:szCs w:val="22"/>
              </w:rPr>
            </w:pPr>
            <w:r w:rsidDel="00000000" w:rsidR="00000000" w:rsidRPr="00000000">
              <w:rPr>
                <w:rFonts w:ascii="Arial" w:cs="Arial" w:eastAsia="Arial" w:hAnsi="Arial"/>
                <w:b w:val="1"/>
                <w:bCs w:val="1"/>
                <w:i w:val="1"/>
                <w:iCs w:val="1"/>
                <w:color w:val="2e6db4"/>
                <w:sz w:val="22"/>
                <w:szCs w:val="22"/>
                <w:rtl w:val="0"/>
              </w:rPr>
              <w:t xml:space="preserve">Responding:</w:t>
            </w:r>
            <w:r w:rsidDel="00000000" w:rsidR="00000000" w:rsidRPr="00000000">
              <w:rPr>
                <w:rtl w:val="0"/>
              </w:rPr>
            </w:r>
          </w:p>
          <w:p w:rsidR="00000000" w:rsidDel="00000000" w:rsidP="00000000" w:rsidRDefault="00000000" w:rsidRPr="00000000" w14:paraId="0000004E">
            <w:pPr>
              <w:spacing w:after="30" w:before="30" w:line="260" w:lineRule="auto"/>
              <w:ind w:left="280" w:hanging="200"/>
              <w:rPr>
                <w:sz w:val="22"/>
                <w:szCs w:val="22"/>
              </w:rPr>
            </w:pPr>
            <w:r w:rsidDel="00000000" w:rsidR="00000000" w:rsidRPr="00000000">
              <w:rPr>
                <w:rFonts w:ascii="Georgia" w:cs="Georgia" w:eastAsia="Georgia" w:hAnsi="Georgia"/>
                <w:color w:val="333333"/>
                <w:sz w:val="22"/>
                <w:szCs w:val="22"/>
                <w:rtl w:val="0"/>
              </w:rPr>
              <w:t xml:space="preserve">• Appropriately to command terms</w:t>
            </w:r>
            <w:r w:rsidDel="00000000" w:rsidR="00000000" w:rsidRPr="00000000">
              <w:rPr>
                <w:rtl w:val="0"/>
              </w:rPr>
            </w:r>
          </w:p>
        </w:tc>
      </w:tr>
    </w:tbl>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6" w:type="default"/>
      <w:pgSz w:h="16838" w:w="11906" w:orient="portrait"/>
      <w:pgMar w:bottom="900" w:top="900" w:left="900" w:right="9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shd w:fill="1b3a6b" w:val="clear"/>
      <w:spacing w:after="60" w:before="60" w:lineRule="auto"/>
      <w:ind w:left="180" w:firstLine="0"/>
      <w:jc w:val="center"/>
      <w:rPr>
        <w:sz w:val="22"/>
        <w:szCs w:val="22"/>
      </w:rPr>
    </w:pPr>
    <w:r w:rsidDel="00000000" w:rsidR="00000000" w:rsidRPr="00000000">
      <w:rPr>
        <w:rFonts w:ascii="Arial" w:cs="Arial" w:eastAsia="Arial" w:hAnsi="Arial"/>
        <w:b w:val="1"/>
        <w:bCs w:val="1"/>
        <w:color w:val="ffffff"/>
        <w:sz w:val="18"/>
        <w:szCs w:val="18"/>
        <w:rtl w:val="0"/>
      </w:rPr>
      <w:t xml:space="preserve">IB DIPLOMA GEOGRAPHY  ·  GEOGRAPHIC SKILLS REFERENCE  ·  Guide pp. 28–30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